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B5538" w14:textId="3483F552" w:rsidR="00F700D0" w:rsidRPr="008412DD" w:rsidRDefault="002853E6" w:rsidP="00577B1E">
      <w:pPr>
        <w:rPr>
          <w:rFonts w:ascii="Verdana" w:hAnsi="Verdana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>How to Clear Red Alerts</w:t>
      </w:r>
      <w:r w:rsidR="00497B7D" w:rsidRPr="008412DD">
        <w:rPr>
          <w:rFonts w:ascii="Verdana" w:hAnsi="Verdana"/>
          <w:b/>
          <w:bCs/>
          <w:color w:val="C00000"/>
          <w:sz w:val="28"/>
          <w:szCs w:val="28"/>
        </w:rPr>
        <w:t xml:space="preserve"> Concur </w:t>
      </w:r>
      <w:r w:rsidR="00945F44" w:rsidRPr="008412DD">
        <w:rPr>
          <w:rFonts w:ascii="Verdana" w:hAnsi="Verdana"/>
          <w:b/>
          <w:bCs/>
          <w:color w:val="C00000"/>
          <w:sz w:val="28"/>
          <w:szCs w:val="28"/>
        </w:rPr>
        <w:br/>
      </w:r>
    </w:p>
    <w:p w14:paraId="2C860E40" w14:textId="1C9BD8EC" w:rsidR="002853E6" w:rsidRPr="002853E6" w:rsidRDefault="002853E6" w:rsidP="002853E6">
      <w:pPr>
        <w:spacing w:after="240"/>
        <w:rPr>
          <w:rFonts w:ascii="Verdana" w:hAnsi="Verdana"/>
        </w:rPr>
      </w:pPr>
      <w:r w:rsidRPr="004C4789">
        <w:rPr>
          <w:rFonts w:ascii="Verdana" w:hAnsi="Verdana"/>
        </w:rPr>
        <w:t>Red alerts</w:t>
      </w:r>
      <w:r w:rsidRPr="002853E6">
        <w:rPr>
          <w:rFonts w:ascii="Verdana" w:hAnsi="Verdana"/>
        </w:rPr>
        <w:t xml:space="preserve"> in Concur can be daunting as most of them will not allow you to submit your Requests </w:t>
      </w:r>
      <w:r>
        <w:rPr>
          <w:rFonts w:ascii="Verdana" w:hAnsi="Verdana"/>
        </w:rPr>
        <w:t>or</w:t>
      </w:r>
      <w:r w:rsidRPr="002853E6">
        <w:rPr>
          <w:rFonts w:ascii="Verdana" w:hAnsi="Verdana"/>
        </w:rPr>
        <w:t xml:space="preserve"> Reports. When you open the </w:t>
      </w:r>
      <w:r w:rsidRPr="002853E6">
        <w:rPr>
          <w:rFonts w:ascii="Verdana" w:hAnsi="Verdana"/>
          <w:b/>
          <w:bCs/>
        </w:rPr>
        <w:t>Alerts</w:t>
      </w:r>
      <w:r w:rsidRPr="002853E6">
        <w:rPr>
          <w:rFonts w:ascii="Verdana" w:hAnsi="Verdana"/>
        </w:rPr>
        <w:t xml:space="preserve"> menu at the top of your Request/Report and click </w:t>
      </w:r>
      <w:r w:rsidRPr="002853E6">
        <w:rPr>
          <w:rFonts w:ascii="Verdana" w:hAnsi="Verdana"/>
          <w:b/>
          <w:bCs/>
        </w:rPr>
        <w:t>View</w:t>
      </w:r>
      <w:r w:rsidRPr="002853E6">
        <w:rPr>
          <w:rFonts w:ascii="Verdana" w:hAnsi="Verdana"/>
        </w:rPr>
        <w:t xml:space="preserve"> beside an alert, it will take you to the area/transaction with missing information.</w:t>
      </w:r>
    </w:p>
    <w:p w14:paraId="2DDD8657" w14:textId="658883E3" w:rsidR="002853E6" w:rsidRPr="002853E6" w:rsidRDefault="002853E6" w:rsidP="002853E6">
      <w:pPr>
        <w:spacing w:after="240"/>
        <w:rPr>
          <w:rFonts w:ascii="Verdana" w:hAnsi="Verdana"/>
        </w:rPr>
      </w:pPr>
      <w:r w:rsidRPr="002853E6">
        <w:rPr>
          <w:rFonts w:ascii="Verdana" w:hAnsi="Verdana"/>
        </w:rPr>
        <w:t>Here are a few of the most common red alerts</w:t>
      </w:r>
      <w:r>
        <w:rPr>
          <w:rFonts w:ascii="Verdana" w:hAnsi="Verdana"/>
        </w:rPr>
        <w:t xml:space="preserve">, what they mean, </w:t>
      </w:r>
      <w:r w:rsidRPr="002853E6">
        <w:rPr>
          <w:rFonts w:ascii="Verdana" w:hAnsi="Verdana"/>
        </w:rPr>
        <w:t xml:space="preserve">and </w:t>
      </w:r>
      <w:r>
        <w:rPr>
          <w:rFonts w:ascii="Verdana" w:hAnsi="Verdana"/>
        </w:rPr>
        <w:t>a solution to clear the alert. A</w:t>
      </w:r>
      <w:r w:rsidRPr="002853E6">
        <w:rPr>
          <w:rFonts w:ascii="Verdana" w:hAnsi="Verdana"/>
        </w:rPr>
        <w:t xml:space="preserve"> link to the </w:t>
      </w:r>
      <w:r w:rsidRPr="004C4789">
        <w:rPr>
          <w:rFonts w:ascii="Verdana" w:hAnsi="Verdana"/>
          <w:b/>
          <w:bCs/>
          <w:color w:val="2F5496" w:themeColor="accent1" w:themeShade="BF"/>
        </w:rPr>
        <w:t>How to</w:t>
      </w:r>
      <w:r w:rsidRPr="004C4789">
        <w:rPr>
          <w:rFonts w:ascii="Verdana" w:hAnsi="Verdana"/>
          <w:color w:val="2F5496" w:themeColor="accent1" w:themeShade="BF"/>
        </w:rPr>
        <w:t xml:space="preserve"> [Google doc] </w:t>
      </w:r>
      <w:r>
        <w:rPr>
          <w:rFonts w:ascii="Verdana" w:hAnsi="Verdana"/>
        </w:rPr>
        <w:t>is included if one is available</w:t>
      </w:r>
      <w:r w:rsidRPr="002853E6">
        <w:rPr>
          <w:rFonts w:ascii="Verdana" w:hAnsi="Verdana"/>
        </w:rPr>
        <w:t>.</w:t>
      </w:r>
    </w:p>
    <w:p w14:paraId="26779053" w14:textId="62EC00C4" w:rsidR="002853E6" w:rsidRPr="002853E6" w:rsidRDefault="009A4424" w:rsidP="002853E6">
      <w:pPr>
        <w:spacing w:after="240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highlight w:val="yellow"/>
        </w:rPr>
        <w:t xml:space="preserve">Common </w:t>
      </w:r>
      <w:proofErr w:type="spellStart"/>
      <w:r w:rsidR="002853E6" w:rsidRPr="009A4424">
        <w:rPr>
          <w:rFonts w:ascii="Verdana" w:hAnsi="Verdana"/>
          <w:b/>
          <w:bCs/>
          <w:highlight w:val="yellow"/>
        </w:rPr>
        <w:t>PCard</w:t>
      </w:r>
      <w:proofErr w:type="spellEnd"/>
      <w:r w:rsidR="002853E6" w:rsidRPr="009A4424">
        <w:rPr>
          <w:rFonts w:ascii="Verdana" w:hAnsi="Verdana"/>
          <w:b/>
          <w:bCs/>
          <w:highlight w:val="yellow"/>
        </w:rPr>
        <w:t xml:space="preserve"> alerts:</w:t>
      </w:r>
    </w:p>
    <w:p w14:paraId="53E87606" w14:textId="42AEDDFC" w:rsidR="002853E6" w:rsidRPr="002853E6" w:rsidRDefault="002853E6" w:rsidP="002853E6">
      <w:pPr>
        <w:spacing w:after="240"/>
        <w:rPr>
          <w:rFonts w:ascii="Verdana" w:hAnsi="Verdana"/>
          <w:color w:val="C00000"/>
        </w:rPr>
      </w:pPr>
      <w:r>
        <w:rPr>
          <w:noProof/>
          <w14:ligatures w14:val="standardContextual"/>
        </w:rPr>
        <w:drawing>
          <wp:inline distT="0" distB="0" distL="0" distR="0" wp14:anchorId="2BF4AB85" wp14:editId="29FF500D">
            <wp:extent cx="6858000" cy="1217930"/>
            <wp:effectExtent l="0" t="0" r="0" b="1270"/>
            <wp:docPr id="20903190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31905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49489" w14:textId="29253295" w:rsidR="002853E6" w:rsidRDefault="00CE1885" w:rsidP="002853E6">
      <w:pPr>
        <w:spacing w:after="240"/>
        <w:rPr>
          <w:rFonts w:ascii="Verdana" w:hAnsi="Verdana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559DEC2C" wp14:editId="37638B5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094865" cy="2414905"/>
            <wp:effectExtent l="0" t="0" r="635" b="4445"/>
            <wp:wrapTight wrapText="bothSides">
              <wp:wrapPolygon edited="0">
                <wp:start x="0" y="0"/>
                <wp:lineTo x="0" y="21469"/>
                <wp:lineTo x="21410" y="21469"/>
                <wp:lineTo x="21410" y="0"/>
                <wp:lineTo x="0" y="0"/>
              </wp:wrapPolygon>
            </wp:wrapTight>
            <wp:docPr id="647485323" name="Picture 1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85323" name="Picture 1" descr="A screenshot of a repo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3E6" w:rsidRPr="002853E6">
        <w:rPr>
          <w:rFonts w:ascii="Verdana" w:hAnsi="Verdana"/>
          <w:b/>
          <w:bCs/>
        </w:rPr>
        <w:t>Meaning:</w:t>
      </w:r>
      <w:r w:rsidR="002853E6" w:rsidRPr="002853E6">
        <w:rPr>
          <w:rFonts w:ascii="Verdana" w:hAnsi="Verdana"/>
        </w:rPr>
        <w:t xml:space="preserve"> the chart string is missing </w:t>
      </w:r>
      <w:r w:rsidR="002853E6">
        <w:rPr>
          <w:rFonts w:ascii="Verdana" w:hAnsi="Verdana"/>
        </w:rPr>
        <w:t xml:space="preserve">in </w:t>
      </w:r>
      <w:r w:rsidR="002853E6" w:rsidRPr="002853E6">
        <w:rPr>
          <w:rFonts w:ascii="Verdana" w:hAnsi="Verdana"/>
        </w:rPr>
        <w:t>the Report Header</w:t>
      </w:r>
      <w:r w:rsidR="002853E6">
        <w:rPr>
          <w:rFonts w:ascii="Verdana" w:hAnsi="Verdana"/>
        </w:rPr>
        <w:t xml:space="preserve">. </w:t>
      </w:r>
      <w:r w:rsidR="002853E6" w:rsidRPr="002853E6">
        <w:rPr>
          <w:rFonts w:ascii="Verdana" w:hAnsi="Verdana"/>
        </w:rPr>
        <w:t xml:space="preserve">The chart string you add </w:t>
      </w:r>
      <w:r w:rsidR="002853E6">
        <w:rPr>
          <w:rFonts w:ascii="Verdana" w:hAnsi="Verdana"/>
        </w:rPr>
        <w:t>to</w:t>
      </w:r>
      <w:r w:rsidR="002853E6" w:rsidRPr="002853E6">
        <w:rPr>
          <w:rFonts w:ascii="Verdana" w:hAnsi="Verdana"/>
        </w:rPr>
        <w:t xml:space="preserve"> the Report Header is the </w:t>
      </w:r>
      <w:r w:rsidR="002853E6" w:rsidRPr="002853E6">
        <w:rPr>
          <w:rFonts w:ascii="Verdana" w:hAnsi="Verdana"/>
          <w:u w:val="single"/>
        </w:rPr>
        <w:t>default</w:t>
      </w:r>
      <w:r w:rsidR="002853E6" w:rsidRPr="002853E6">
        <w:rPr>
          <w:rFonts w:ascii="Verdana" w:hAnsi="Verdana"/>
        </w:rPr>
        <w:t xml:space="preserve"> for all expenses in the Report that are not </w:t>
      </w:r>
      <w:r w:rsidR="002853E6" w:rsidRPr="002853E6">
        <w:rPr>
          <w:rFonts w:ascii="Verdana" w:hAnsi="Verdana"/>
          <w:u w:val="single"/>
        </w:rPr>
        <w:t>Allocated</w:t>
      </w:r>
      <w:r w:rsidR="002853E6" w:rsidRPr="002853E6">
        <w:rPr>
          <w:rFonts w:ascii="Verdana" w:hAnsi="Verdana"/>
        </w:rPr>
        <w:t xml:space="preserve"> to another chart string.</w:t>
      </w:r>
    </w:p>
    <w:p w14:paraId="48C5EA06" w14:textId="6DF31BCD" w:rsidR="002853E6" w:rsidRDefault="002853E6" w:rsidP="002853E6">
      <w:pPr>
        <w:spacing w:after="240"/>
        <w:rPr>
          <w:rFonts w:ascii="Verdana" w:hAnsi="Verdana"/>
        </w:rPr>
      </w:pPr>
      <w:r w:rsidRPr="002853E6">
        <w:rPr>
          <w:rFonts w:ascii="Verdana" w:hAnsi="Verdana"/>
          <w:b/>
          <w:bCs/>
        </w:rPr>
        <w:t>Solution:</w:t>
      </w:r>
      <w:r>
        <w:rPr>
          <w:rFonts w:ascii="Verdana" w:hAnsi="Verdana"/>
        </w:rPr>
        <w:t xml:space="preserve"> </w:t>
      </w:r>
      <w:r w:rsidR="00CE1885">
        <w:rPr>
          <w:rFonts w:ascii="Verdana" w:hAnsi="Verdana"/>
        </w:rPr>
        <w:t xml:space="preserve">Go to </w:t>
      </w:r>
      <w:r w:rsidR="00CE1885" w:rsidRPr="00E17A6A">
        <w:rPr>
          <w:rFonts w:ascii="Verdana" w:hAnsi="Verdana"/>
          <w:u w:val="single"/>
        </w:rPr>
        <w:t>Report Details/Report Header</w:t>
      </w:r>
      <w:r w:rsidR="00CE1885">
        <w:rPr>
          <w:rFonts w:ascii="Verdana" w:hAnsi="Verdana"/>
        </w:rPr>
        <w:t xml:space="preserve"> to a</w:t>
      </w:r>
      <w:r>
        <w:rPr>
          <w:rFonts w:ascii="Verdana" w:hAnsi="Verdana"/>
        </w:rPr>
        <w:t xml:space="preserve">dd the chart string in the header </w:t>
      </w:r>
      <w:r w:rsidRPr="002853E6">
        <w:rPr>
          <w:rFonts w:ascii="Verdana" w:hAnsi="Verdana"/>
          <w:u w:val="single"/>
        </w:rPr>
        <w:t>before</w:t>
      </w:r>
      <w:r>
        <w:rPr>
          <w:rFonts w:ascii="Verdana" w:hAnsi="Verdana"/>
        </w:rPr>
        <w:t xml:space="preserve"> you begin reconciling </w:t>
      </w:r>
      <w:proofErr w:type="spellStart"/>
      <w:r>
        <w:rPr>
          <w:rFonts w:ascii="Verdana" w:hAnsi="Verdana"/>
        </w:rPr>
        <w:t>PCard</w:t>
      </w:r>
      <w:proofErr w:type="spellEnd"/>
      <w:r>
        <w:rPr>
          <w:rFonts w:ascii="Verdana" w:hAnsi="Verdana"/>
        </w:rPr>
        <w:t xml:space="preserve"> expenses and especially before you allocate an expense to another chart string.</w:t>
      </w:r>
    </w:p>
    <w:p w14:paraId="2167A504" w14:textId="4D6EA7B9" w:rsidR="002853E6" w:rsidRDefault="002853E6" w:rsidP="00577B1E">
      <w:pPr>
        <w:spacing w:after="240"/>
        <w:rPr>
          <w:rFonts w:ascii="Verdana" w:hAnsi="Verdana"/>
        </w:rPr>
      </w:pPr>
    </w:p>
    <w:p w14:paraId="43CEF600" w14:textId="77777777" w:rsidR="002853E6" w:rsidRDefault="002853E6" w:rsidP="00577B1E">
      <w:pPr>
        <w:spacing w:after="240"/>
        <w:rPr>
          <w:rFonts w:ascii="Verdana" w:hAnsi="Verdana"/>
        </w:rPr>
      </w:pPr>
    </w:p>
    <w:p w14:paraId="6C9508F8" w14:textId="77777777" w:rsidR="002853E6" w:rsidRDefault="002853E6" w:rsidP="00577B1E">
      <w:pPr>
        <w:spacing w:after="240"/>
        <w:rPr>
          <w:rFonts w:ascii="Verdana" w:hAnsi="Verdana"/>
        </w:rPr>
      </w:pPr>
    </w:p>
    <w:p w14:paraId="58D8E962" w14:textId="2C9BF7B5" w:rsidR="00CE1885" w:rsidRDefault="00CE1885" w:rsidP="00577B1E">
      <w:pPr>
        <w:spacing w:after="240"/>
        <w:rPr>
          <w:rFonts w:ascii="Verdana" w:hAnsi="Verdana"/>
        </w:rPr>
      </w:pPr>
      <w:r>
        <w:rPr>
          <w:noProof/>
          <w14:ligatures w14:val="standardContextual"/>
        </w:rPr>
        <w:drawing>
          <wp:inline distT="0" distB="0" distL="0" distR="0" wp14:anchorId="767AA59B" wp14:editId="2BC5211F">
            <wp:extent cx="6858000" cy="596900"/>
            <wp:effectExtent l="0" t="0" r="0" b="0"/>
            <wp:docPr id="968265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26556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C2CC3" w14:textId="1EEC34D4" w:rsidR="00CE1885" w:rsidRDefault="00CE1885" w:rsidP="00577B1E">
      <w:pPr>
        <w:spacing w:after="240"/>
        <w:rPr>
          <w:rFonts w:ascii="Verdana" w:hAnsi="Verdana"/>
        </w:rPr>
      </w:pPr>
      <w:r w:rsidRPr="004C4789">
        <w:rPr>
          <w:rFonts w:ascii="Verdana" w:hAnsi="Verdana"/>
          <w:b/>
          <w:bCs/>
        </w:rPr>
        <w:t>Meaning:</w:t>
      </w:r>
      <w:r>
        <w:rPr>
          <w:rFonts w:ascii="Verdana" w:hAnsi="Verdana"/>
        </w:rPr>
        <w:t xml:space="preserve"> </w:t>
      </w:r>
      <w:r w:rsidR="009C76D9">
        <w:rPr>
          <w:rFonts w:ascii="Verdana" w:hAnsi="Verdana"/>
        </w:rPr>
        <w:t>the expense type is missing from this transaction.</w:t>
      </w:r>
    </w:p>
    <w:p w14:paraId="7DC84905" w14:textId="0A0D2836" w:rsidR="00CE1885" w:rsidRDefault="00CE1885" w:rsidP="00577B1E">
      <w:pPr>
        <w:spacing w:after="240"/>
        <w:rPr>
          <w:rFonts w:ascii="Verdana" w:hAnsi="Verdana"/>
        </w:rPr>
      </w:pPr>
      <w:r w:rsidRPr="004C4789">
        <w:rPr>
          <w:rFonts w:ascii="Verdana" w:hAnsi="Verdana"/>
          <w:b/>
          <w:bCs/>
        </w:rPr>
        <w:t>Solution:</w:t>
      </w:r>
      <w:r>
        <w:rPr>
          <w:rFonts w:ascii="Verdana" w:hAnsi="Verdana"/>
        </w:rPr>
        <w:t xml:space="preserve"> </w:t>
      </w:r>
      <w:r w:rsidR="009C76D9">
        <w:rPr>
          <w:rFonts w:ascii="Verdana" w:hAnsi="Verdana"/>
        </w:rPr>
        <w:t xml:space="preserve">click to open the transaction and enter the </w:t>
      </w:r>
      <w:r w:rsidR="009C76D9" w:rsidRPr="004C4789">
        <w:rPr>
          <w:rFonts w:ascii="Verdana" w:hAnsi="Verdana"/>
          <w:u w:val="single"/>
        </w:rPr>
        <w:t>Expense Type</w:t>
      </w:r>
      <w:r w:rsidR="009C76D9">
        <w:rPr>
          <w:rFonts w:ascii="Verdana" w:hAnsi="Verdana"/>
        </w:rPr>
        <w:t xml:space="preserve"> and any other needed information.</w:t>
      </w:r>
      <w:r w:rsidR="004C4789">
        <w:rPr>
          <w:rFonts w:ascii="Verdana" w:hAnsi="Verdana"/>
        </w:rPr>
        <w:t xml:space="preserve"> I the transaction includes multiple expense types you will click </w:t>
      </w:r>
      <w:r w:rsidR="004C4789">
        <w:rPr>
          <w:rFonts w:ascii="Verdana" w:hAnsi="Verdana"/>
          <w:u w:val="single"/>
        </w:rPr>
        <w:t>Itemizations</w:t>
      </w:r>
      <w:r w:rsidR="004C4789">
        <w:rPr>
          <w:rFonts w:ascii="Verdana" w:hAnsi="Verdana"/>
        </w:rPr>
        <w:t xml:space="preserve"> to separate the purchase into each expense type. Contact us if you’re unsure of the expense type.</w:t>
      </w:r>
    </w:p>
    <w:p w14:paraId="05A0DD87" w14:textId="3B4A1377" w:rsidR="00C606C7" w:rsidRPr="006C6B6B" w:rsidRDefault="006C6B6B" w:rsidP="00577B1E">
      <w:pPr>
        <w:spacing w:after="240"/>
        <w:rPr>
          <w:rFonts w:ascii="Verdana" w:hAnsi="Verdana"/>
          <w:b/>
          <w:bCs/>
        </w:rPr>
      </w:pPr>
      <w:r w:rsidRPr="009A4424">
        <w:rPr>
          <w:rFonts w:ascii="Verdana" w:hAnsi="Verdana"/>
          <w:b/>
          <w:bCs/>
          <w:highlight w:val="yellow"/>
        </w:rPr>
        <w:t>Common red alerts on Travel:</w:t>
      </w:r>
    </w:p>
    <w:p w14:paraId="6E843504" w14:textId="2436F270" w:rsidR="006C6B6B" w:rsidRPr="00430CA0" w:rsidRDefault="006C6B6B" w:rsidP="00577B1E">
      <w:pPr>
        <w:spacing w:after="240"/>
        <w:rPr>
          <w:rFonts w:ascii="Verdana" w:hAnsi="Verdana"/>
          <w:color w:val="C00000"/>
        </w:rPr>
      </w:pPr>
      <w:r w:rsidRPr="00430CA0">
        <w:rPr>
          <w:rFonts w:ascii="Verdana" w:hAnsi="Verdana"/>
          <w:color w:val="C00000"/>
        </w:rPr>
        <w:t xml:space="preserve">This entry cannot be submitted until a </w:t>
      </w:r>
      <w:r w:rsidRPr="00430CA0">
        <w:rPr>
          <w:rFonts w:ascii="Verdana" w:hAnsi="Verdana"/>
          <w:color w:val="C00000"/>
          <w:u w:val="single"/>
        </w:rPr>
        <w:t>Travel Allowance Itinerary</w:t>
      </w:r>
      <w:r w:rsidRPr="00430CA0">
        <w:rPr>
          <w:rFonts w:ascii="Verdana" w:hAnsi="Verdana"/>
          <w:color w:val="C00000"/>
        </w:rPr>
        <w:t xml:space="preserve"> is created.</w:t>
      </w:r>
    </w:p>
    <w:p w14:paraId="24BE75EB" w14:textId="2776B467" w:rsidR="00430CA0" w:rsidRDefault="00430CA0" w:rsidP="00577B1E">
      <w:pPr>
        <w:spacing w:after="240"/>
        <w:rPr>
          <w:rFonts w:ascii="Verdana" w:hAnsi="Verdana"/>
        </w:rPr>
      </w:pPr>
      <w:r w:rsidRPr="00430CA0">
        <w:rPr>
          <w:rFonts w:ascii="Verdana" w:hAnsi="Verdana"/>
          <w:b/>
          <w:bCs/>
        </w:rPr>
        <w:t>Meaning:</w:t>
      </w:r>
      <w:r>
        <w:rPr>
          <w:rFonts w:ascii="Verdana" w:hAnsi="Verdana"/>
        </w:rPr>
        <w:t xml:space="preserve"> this is required when a traveler claims meals and/or lodging. It is </w:t>
      </w:r>
      <w:proofErr w:type="spellStart"/>
      <w:r>
        <w:rPr>
          <w:rFonts w:ascii="Verdana" w:hAnsi="Verdana"/>
        </w:rPr>
        <w:t>Concur’s</w:t>
      </w:r>
      <w:proofErr w:type="spellEnd"/>
      <w:r>
        <w:rPr>
          <w:rFonts w:ascii="Verdana" w:hAnsi="Verdana"/>
        </w:rPr>
        <w:t xml:space="preserve"> internal GSA chart for those daily allowances</w:t>
      </w:r>
      <w:r w:rsidR="006E1B96">
        <w:rPr>
          <w:rFonts w:ascii="Verdana" w:hAnsi="Verdana"/>
        </w:rPr>
        <w:t>, and lodging when using “state funds” (110 accts)</w:t>
      </w:r>
      <w:r>
        <w:rPr>
          <w:rFonts w:ascii="Verdana" w:hAnsi="Verdana"/>
        </w:rPr>
        <w:t>.</w:t>
      </w:r>
    </w:p>
    <w:p w14:paraId="14268E60" w14:textId="34E6293B" w:rsidR="00430CA0" w:rsidRPr="00EC24EF" w:rsidRDefault="00430CA0" w:rsidP="00EC24EF">
      <w:pPr>
        <w:spacing w:after="240"/>
        <w:rPr>
          <w:rFonts w:ascii="Verdana" w:hAnsi="Verdana"/>
        </w:rPr>
      </w:pPr>
      <w:r w:rsidRPr="00EC24EF">
        <w:rPr>
          <w:rFonts w:ascii="Verdana" w:hAnsi="Verdana"/>
          <w:b/>
          <w:bCs/>
        </w:rPr>
        <w:lastRenderedPageBreak/>
        <w:t>Solution:</w:t>
      </w:r>
      <w:r w:rsidRPr="00EC24EF">
        <w:rPr>
          <w:rFonts w:ascii="Verdana" w:hAnsi="Verdana"/>
        </w:rPr>
        <w:t xml:space="preserve"> here is our </w:t>
      </w:r>
      <w:hyperlink r:id="rId10" w:anchor="heading=h.gjdgxs" w:tooltip="How to Create a Travel Allowance Itinerary" w:history="1">
        <w:r w:rsidR="00EC24EF" w:rsidRPr="00EC24EF">
          <w:rPr>
            <w:rStyle w:val="Hyperlink"/>
            <w:rFonts w:ascii="Verdana" w:hAnsi="Verdana"/>
          </w:rPr>
          <w:t>How to Create a Travel Allowance Itinerary (in an Expense Report)</w:t>
        </w:r>
      </w:hyperlink>
      <w:r w:rsidR="00EC24EF" w:rsidRPr="00EC24EF">
        <w:rPr>
          <w:rFonts w:ascii="Verdana" w:hAnsi="Verdana"/>
        </w:rPr>
        <w:t> [Google doc]</w:t>
      </w:r>
      <w:r w:rsidR="00EC24EF" w:rsidRPr="00EC24EF">
        <w:rPr>
          <w:rFonts w:ascii="Verdana" w:hAnsi="Verdana"/>
        </w:rPr>
        <w:t xml:space="preserve"> </w:t>
      </w:r>
      <w:r w:rsidRPr="00EC24EF">
        <w:rPr>
          <w:rFonts w:ascii="Verdana" w:hAnsi="Verdana"/>
        </w:rPr>
        <w:t>with steps for entering this in Concur.</w:t>
      </w:r>
      <w:r w:rsidR="006E1B96">
        <w:rPr>
          <w:rFonts w:ascii="Verdana" w:hAnsi="Verdana"/>
        </w:rPr>
        <w:t xml:space="preserve"> Many of the red alerts will clear once this is entered in your trip. Here is how you </w:t>
      </w:r>
      <w:r w:rsidR="009A4424">
        <w:rPr>
          <w:rFonts w:ascii="Verdana" w:hAnsi="Verdana"/>
        </w:rPr>
        <w:t>enter this information</w:t>
      </w:r>
      <w:r w:rsidR="006E1B96">
        <w:rPr>
          <w:rFonts w:ascii="Verdana" w:hAnsi="Verdana"/>
        </w:rPr>
        <w:t>:</w:t>
      </w:r>
    </w:p>
    <w:p w14:paraId="03E5877A" w14:textId="216E9EC2" w:rsidR="00EC24EF" w:rsidRDefault="00EC24EF" w:rsidP="00577B1E">
      <w:pPr>
        <w:spacing w:after="240"/>
        <w:rPr>
          <w:rFonts w:ascii="Verdana" w:hAnsi="Verdana"/>
        </w:rPr>
      </w:pPr>
      <w:r>
        <w:rPr>
          <w:noProof/>
          <w14:ligatures w14:val="standardContextual"/>
        </w:rPr>
        <w:drawing>
          <wp:inline distT="0" distB="0" distL="0" distR="0" wp14:anchorId="2BCD45CE" wp14:editId="727F2F30">
            <wp:extent cx="5381293" cy="1213429"/>
            <wp:effectExtent l="0" t="0" r="0" b="6350"/>
            <wp:docPr id="22431040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10401" name="Picture 1" descr="A screenshot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07" cy="121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27D45" w14:textId="77777777" w:rsidR="009A4424" w:rsidRDefault="009A4424" w:rsidP="00577B1E">
      <w:pPr>
        <w:spacing w:after="240"/>
        <w:rPr>
          <w:rFonts w:ascii="Verdana" w:hAnsi="Verdana"/>
        </w:rPr>
      </w:pPr>
    </w:p>
    <w:p w14:paraId="20949C0E" w14:textId="6135D888" w:rsidR="006C6B6B" w:rsidRDefault="006C6B6B" w:rsidP="00577B1E">
      <w:pPr>
        <w:spacing w:after="240"/>
        <w:rPr>
          <w:rFonts w:ascii="Verdana" w:hAnsi="Verdana"/>
        </w:rPr>
      </w:pPr>
      <w:r w:rsidRPr="00430CA0">
        <w:rPr>
          <w:rFonts w:ascii="Verdana" w:hAnsi="Verdana"/>
          <w:color w:val="C00000"/>
        </w:rPr>
        <w:t>Missing required field: Check-In Date, Check-Out Date.</w:t>
      </w:r>
      <w:r w:rsidRPr="00430CA0">
        <w:rPr>
          <w:rFonts w:ascii="Verdana" w:hAnsi="Verdana"/>
          <w:color w:val="C00000"/>
        </w:rPr>
        <w:t xml:space="preserve"> </w:t>
      </w:r>
      <w:r w:rsidRPr="00430CA0">
        <w:rPr>
          <w:rFonts w:ascii="Verdana" w:hAnsi="Verdana"/>
        </w:rPr>
        <w:t>(hotel)</w:t>
      </w:r>
      <w:r w:rsidR="00887837">
        <w:rPr>
          <w:rFonts w:ascii="Verdana" w:hAnsi="Verdana"/>
        </w:rPr>
        <w:br/>
      </w:r>
      <w:r w:rsidR="00887837" w:rsidRPr="00887837">
        <w:rPr>
          <w:rFonts w:ascii="Verdana" w:hAnsi="Verdana"/>
        </w:rPr>
        <w:t xml:space="preserve">and </w:t>
      </w:r>
      <w:r w:rsidRPr="00430CA0">
        <w:rPr>
          <w:rFonts w:ascii="Verdana" w:hAnsi="Verdana"/>
          <w:color w:val="C00000"/>
        </w:rPr>
        <w:t>Itemizations are required for this entry.</w:t>
      </w:r>
      <w:r>
        <w:rPr>
          <w:rFonts w:ascii="Verdana" w:hAnsi="Verdana"/>
        </w:rPr>
        <w:t xml:space="preserve"> (hotel)</w:t>
      </w:r>
    </w:p>
    <w:p w14:paraId="455EDCBF" w14:textId="4C382765" w:rsidR="00573C43" w:rsidRPr="00573C43" w:rsidRDefault="00573C43" w:rsidP="00577B1E">
      <w:pPr>
        <w:spacing w:after="240"/>
        <w:rPr>
          <w:rFonts w:ascii="Verdana" w:hAnsi="Verdana"/>
        </w:rPr>
      </w:pPr>
      <w:r w:rsidRPr="00573C43">
        <w:rPr>
          <w:rFonts w:ascii="Verdana" w:hAnsi="Verdana"/>
          <w:b/>
          <w:bCs/>
        </w:rPr>
        <w:t>Meaning:</w:t>
      </w:r>
      <w:r>
        <w:rPr>
          <w:rFonts w:ascii="Verdana" w:hAnsi="Verdana"/>
        </w:rPr>
        <w:t xml:space="preserve"> Hotel expenses must be itemized by day including daily rate, taxes, fees, parking, etc. The example shows out of state. </w:t>
      </w:r>
      <w:r>
        <w:rPr>
          <w:rFonts w:ascii="Verdana" w:hAnsi="Verdana"/>
        </w:rPr>
        <w:br/>
      </w:r>
      <w:r w:rsidRPr="00573C43">
        <w:rPr>
          <w:rFonts w:ascii="Verdana" w:hAnsi="Verdana"/>
          <w:b/>
          <w:bCs/>
        </w:rPr>
        <w:t>NOTE for Texas hotels:</w:t>
      </w:r>
      <w:r>
        <w:rPr>
          <w:rFonts w:ascii="Verdana" w:hAnsi="Verdana"/>
        </w:rPr>
        <w:t xml:space="preserve"> we are not allowed to pay </w:t>
      </w:r>
      <w:r>
        <w:rPr>
          <w:rFonts w:ascii="Verdana" w:hAnsi="Verdana"/>
          <w:u w:val="single"/>
        </w:rPr>
        <w:t>state occupancy taxes</w:t>
      </w:r>
      <w:r>
        <w:rPr>
          <w:rFonts w:ascii="Verdana" w:hAnsi="Verdana"/>
        </w:rPr>
        <w:t>. All other taxes and fees are allowable.</w:t>
      </w:r>
      <w:r w:rsidR="00887837">
        <w:rPr>
          <w:rFonts w:ascii="Verdana" w:hAnsi="Verdana"/>
        </w:rPr>
        <w:t xml:space="preserve"> Check your </w:t>
      </w:r>
      <w:r w:rsidR="0018641A">
        <w:rPr>
          <w:rFonts w:ascii="Verdana" w:hAnsi="Verdana"/>
        </w:rPr>
        <w:t>bill</w:t>
      </w:r>
      <w:r w:rsidR="00887837">
        <w:rPr>
          <w:rFonts w:ascii="Verdana" w:hAnsi="Verdana"/>
        </w:rPr>
        <w:t xml:space="preserve"> before you leave the hotel.</w:t>
      </w:r>
    </w:p>
    <w:p w14:paraId="2D083C73" w14:textId="40C73589" w:rsidR="00573C43" w:rsidRDefault="00573C43" w:rsidP="00577B1E">
      <w:pPr>
        <w:spacing w:after="240"/>
        <w:rPr>
          <w:rFonts w:ascii="Verdana" w:hAnsi="Verdana"/>
        </w:rPr>
      </w:pPr>
      <w:r w:rsidRPr="00573C43">
        <w:rPr>
          <w:rFonts w:ascii="Verdana" w:hAnsi="Verdana"/>
          <w:b/>
          <w:bCs/>
        </w:rPr>
        <w:t>Solution:</w:t>
      </w:r>
      <w:r>
        <w:rPr>
          <w:rFonts w:ascii="Verdana" w:hAnsi="Verdana"/>
        </w:rPr>
        <w:t xml:space="preserve"> follow the itemizations on the hotel receipt to enter daily expenses; allow Concur to combine hotel taxes into a single daily itemization line.</w:t>
      </w:r>
      <w:r w:rsidR="00887837">
        <w:rPr>
          <w:rFonts w:ascii="Verdana" w:hAnsi="Verdana"/>
        </w:rPr>
        <w:t xml:space="preserve"> </w:t>
      </w:r>
    </w:p>
    <w:p w14:paraId="414808DA" w14:textId="540490B7" w:rsidR="00573C43" w:rsidRDefault="0018641A" w:rsidP="00577B1E">
      <w:pPr>
        <w:spacing w:after="240"/>
        <w:rPr>
          <w:rFonts w:ascii="Verdana" w:hAnsi="Verdana"/>
        </w:rPr>
      </w:pPr>
      <w:r>
        <w:rPr>
          <w:noProof/>
          <w14:ligatures w14:val="standardContextual"/>
        </w:rPr>
        <w:drawing>
          <wp:inline distT="0" distB="0" distL="0" distR="0" wp14:anchorId="4E30ABF9" wp14:editId="7E23BA64">
            <wp:extent cx="5057775" cy="2796366"/>
            <wp:effectExtent l="0" t="0" r="0" b="4445"/>
            <wp:docPr id="154202359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23593" name="Picture 1" descr="A screenshot of a computer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9959" cy="280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0917F" w14:textId="77777777" w:rsidR="009A4424" w:rsidRDefault="009A4424">
      <w:pPr>
        <w:spacing w:after="160" w:line="259" w:lineRule="auto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br w:type="page"/>
      </w:r>
    </w:p>
    <w:p w14:paraId="4AACDC64" w14:textId="0A1C8395" w:rsidR="00887837" w:rsidRPr="0018641A" w:rsidRDefault="00887837" w:rsidP="00577B1E">
      <w:pPr>
        <w:spacing w:after="240"/>
        <w:rPr>
          <w:rFonts w:ascii="Verdana" w:hAnsi="Verdana"/>
          <w:i/>
          <w:iCs/>
        </w:rPr>
      </w:pPr>
      <w:r w:rsidRPr="0018641A">
        <w:rPr>
          <w:rFonts w:ascii="Verdana" w:hAnsi="Verdana"/>
          <w:i/>
          <w:iCs/>
        </w:rPr>
        <w:lastRenderedPageBreak/>
        <w:t>There is an option if the daily rates are different each day:</w:t>
      </w:r>
    </w:p>
    <w:p w14:paraId="1B8ED6FD" w14:textId="30CE16A0" w:rsidR="00887837" w:rsidRDefault="009A4424" w:rsidP="00577B1E">
      <w:pPr>
        <w:spacing w:after="240"/>
        <w:rPr>
          <w:rFonts w:ascii="Verdana" w:hAnsi="Verdana"/>
        </w:rPr>
      </w:pPr>
      <w:r>
        <w:rPr>
          <w:noProof/>
          <w14:ligatures w14:val="standardContextual"/>
        </w:rPr>
        <w:drawing>
          <wp:inline distT="0" distB="0" distL="0" distR="0" wp14:anchorId="6D46B830" wp14:editId="297977EE">
            <wp:extent cx="5048250" cy="2362200"/>
            <wp:effectExtent l="0" t="0" r="0" b="0"/>
            <wp:docPr id="1295211766" name="Picture 1" descr="A green tick and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211766" name="Picture 1" descr="A green tick and blue line&#10;&#10;Description automatically generated"/>
                    <pic:cNvPicPr/>
                  </pic:nvPicPr>
                  <pic:blipFill rotWithShape="1">
                    <a:blip r:embed="rId13"/>
                    <a:srcRect r="1487"/>
                    <a:stretch/>
                  </pic:blipFill>
                  <pic:spPr bwMode="auto">
                    <a:xfrm>
                      <a:off x="0" y="0"/>
                      <a:ext cx="504825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8D353" w14:textId="09254BF3" w:rsidR="0018641A" w:rsidRDefault="0018641A" w:rsidP="00577B1E">
      <w:pPr>
        <w:spacing w:after="240"/>
        <w:rPr>
          <w:rFonts w:ascii="Verdana" w:hAnsi="Verdana"/>
        </w:rPr>
      </w:pPr>
      <w:r>
        <w:rPr>
          <w:rFonts w:ascii="Verdana" w:hAnsi="Verdana"/>
        </w:rPr>
        <w:t>If the rate is the same each day, y</w:t>
      </w:r>
      <w:r>
        <w:rPr>
          <w:rFonts w:ascii="Verdana" w:hAnsi="Verdana"/>
        </w:rPr>
        <w:t xml:space="preserve">ou enter </w:t>
      </w:r>
      <w:r w:rsidR="009A4424">
        <w:rPr>
          <w:rFonts w:ascii="Verdana" w:hAnsi="Verdana"/>
        </w:rPr>
        <w:t>one</w:t>
      </w:r>
      <w:r>
        <w:rPr>
          <w:rFonts w:ascii="Verdana" w:hAnsi="Verdana"/>
        </w:rPr>
        <w:t xml:space="preserve"> line of </w:t>
      </w:r>
      <w:r>
        <w:rPr>
          <w:rFonts w:ascii="Verdana" w:hAnsi="Verdana"/>
        </w:rPr>
        <w:t>charges</w:t>
      </w:r>
      <w:r>
        <w:rPr>
          <w:rFonts w:ascii="Verdana" w:hAnsi="Verdana"/>
        </w:rPr>
        <w:t xml:space="preserve"> and Concur calculates all </w:t>
      </w:r>
      <w:r w:rsidR="00E11BBA">
        <w:rPr>
          <w:rFonts w:ascii="Verdana" w:hAnsi="Verdana"/>
        </w:rPr>
        <w:t xml:space="preserve">travel </w:t>
      </w:r>
      <w:r>
        <w:rPr>
          <w:rFonts w:ascii="Verdana" w:hAnsi="Verdana"/>
        </w:rPr>
        <w:t xml:space="preserve">days. </w:t>
      </w:r>
      <w:proofErr w:type="gramStart"/>
      <w:r w:rsidRPr="00887837">
        <w:rPr>
          <w:rFonts w:ascii="Verdana" w:hAnsi="Verdana"/>
          <w:u w:val="single"/>
        </w:rPr>
        <w:t>Remaining</w:t>
      </w:r>
      <w:proofErr w:type="gramEnd"/>
      <w:r>
        <w:rPr>
          <w:rFonts w:ascii="Verdana" w:hAnsi="Verdana"/>
        </w:rPr>
        <w:t xml:space="preserve"> </w:t>
      </w:r>
      <w:r w:rsidR="00E11BBA">
        <w:rPr>
          <w:rFonts w:ascii="Verdana" w:hAnsi="Verdana"/>
        </w:rPr>
        <w:t xml:space="preserve">amount </w:t>
      </w:r>
      <w:r>
        <w:rPr>
          <w:rFonts w:ascii="Verdana" w:hAnsi="Verdana"/>
        </w:rPr>
        <w:t>should be $0 when all itemizations are added.</w:t>
      </w:r>
      <w:r w:rsidR="00E11BBA">
        <w:rPr>
          <w:rFonts w:ascii="Verdana" w:hAnsi="Verdana"/>
        </w:rPr>
        <w:t xml:space="preserve"> </w:t>
      </w:r>
      <w:r w:rsidR="00E11BBA" w:rsidRPr="00E11BBA">
        <w:rPr>
          <w:rFonts w:ascii="Verdana" w:hAnsi="Verdana"/>
          <w:u w:val="single"/>
        </w:rPr>
        <w:t>Parking</w:t>
      </w:r>
      <w:r w:rsidR="00E11BBA">
        <w:rPr>
          <w:rFonts w:ascii="Verdana" w:hAnsi="Verdana"/>
        </w:rPr>
        <w:t xml:space="preserve"> and </w:t>
      </w:r>
      <w:r w:rsidR="00E11BBA" w:rsidRPr="00E11BBA">
        <w:rPr>
          <w:rFonts w:ascii="Verdana" w:hAnsi="Verdana"/>
          <w:u w:val="single"/>
        </w:rPr>
        <w:t>individual travel meals</w:t>
      </w:r>
      <w:r w:rsidR="00E11BBA">
        <w:rPr>
          <w:rFonts w:ascii="Verdana" w:hAnsi="Verdana"/>
        </w:rPr>
        <w:t xml:space="preserve"> are added after you calculate hotel expenses.</w:t>
      </w:r>
    </w:p>
    <w:p w14:paraId="229C9280" w14:textId="355D9E90" w:rsidR="00887837" w:rsidRDefault="00887837" w:rsidP="00577B1E">
      <w:pPr>
        <w:spacing w:after="240"/>
        <w:rPr>
          <w:rFonts w:ascii="Verdana" w:hAnsi="Verdana"/>
        </w:rPr>
      </w:pPr>
      <w:r>
        <w:rPr>
          <w:noProof/>
          <w14:ligatures w14:val="standardContextual"/>
        </w:rPr>
        <w:drawing>
          <wp:inline distT="0" distB="0" distL="0" distR="0" wp14:anchorId="7A99DC1C" wp14:editId="780B62F3">
            <wp:extent cx="5143500" cy="4522588"/>
            <wp:effectExtent l="0" t="0" r="0" b="0"/>
            <wp:docPr id="534434098" name="Picture 1" descr="A screenshot of a tax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34098" name="Picture 1" descr="A screenshot of a tax for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2367" cy="453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61C16" w14:textId="77777777" w:rsidR="00887837" w:rsidRDefault="00887837" w:rsidP="00577B1E">
      <w:pPr>
        <w:spacing w:after="240"/>
        <w:rPr>
          <w:rFonts w:ascii="Verdana" w:hAnsi="Verdana"/>
        </w:rPr>
      </w:pPr>
    </w:p>
    <w:p w14:paraId="70C2979F" w14:textId="77777777" w:rsidR="00E11BBA" w:rsidRDefault="00E11BBA">
      <w:pPr>
        <w:spacing w:after="160" w:line="259" w:lineRule="auto"/>
        <w:rPr>
          <w:rFonts w:ascii="Verdana" w:hAnsi="Verdana"/>
          <w:color w:val="C00000"/>
        </w:rPr>
      </w:pPr>
      <w:r>
        <w:rPr>
          <w:rFonts w:ascii="Verdana" w:hAnsi="Verdana"/>
          <w:color w:val="C00000"/>
        </w:rPr>
        <w:br w:type="page"/>
      </w:r>
    </w:p>
    <w:p w14:paraId="16E86784" w14:textId="76DF54BC" w:rsidR="005776A1" w:rsidRDefault="006C6B6B" w:rsidP="006C6B6B">
      <w:pPr>
        <w:spacing w:after="240"/>
        <w:rPr>
          <w:rFonts w:ascii="Verdana" w:hAnsi="Verdana"/>
          <w:color w:val="C00000"/>
        </w:rPr>
      </w:pPr>
      <w:r w:rsidRPr="00430CA0">
        <w:rPr>
          <w:rFonts w:ascii="Verdana" w:hAnsi="Verdana"/>
          <w:color w:val="C00000"/>
        </w:rPr>
        <w:lastRenderedPageBreak/>
        <w:t xml:space="preserve">Personal car mileage - </w:t>
      </w:r>
      <w:r w:rsidRPr="006C6B6B">
        <w:rPr>
          <w:rFonts w:ascii="Verdana" w:hAnsi="Verdana"/>
          <w:color w:val="C00000"/>
        </w:rPr>
        <w:t>Deduct Commute Mileage feature required.</w:t>
      </w:r>
    </w:p>
    <w:p w14:paraId="47312D9F" w14:textId="071BA5E9" w:rsidR="00E11BBA" w:rsidRDefault="009A4424" w:rsidP="006C6B6B">
      <w:pPr>
        <w:spacing w:after="240"/>
        <w:rPr>
          <w:rFonts w:ascii="Verdana" w:hAnsi="Verdana"/>
        </w:rPr>
      </w:pPr>
      <w:r w:rsidRPr="009A4424">
        <w:rPr>
          <w:rFonts w:ascii="Verdana" w:hAnsi="Verdana"/>
          <w:b/>
          <w:bCs/>
        </w:rPr>
        <w:t>Meaning:</w:t>
      </w:r>
      <w:r>
        <w:rPr>
          <w:rFonts w:ascii="Verdana" w:hAnsi="Verdana"/>
        </w:rPr>
        <w:t xml:space="preserve"> if your travel date is on a weekday, Concur prompts you to deduct commuter mileage. </w:t>
      </w:r>
      <w:r w:rsidR="00E11BBA">
        <w:rPr>
          <w:rFonts w:ascii="Verdana" w:hAnsi="Verdana"/>
        </w:rPr>
        <w:t>This may apply if you drive during official “work hours” of 8am to 5pm.</w:t>
      </w:r>
    </w:p>
    <w:p w14:paraId="202D32BE" w14:textId="4CBC188F" w:rsidR="00E11BBA" w:rsidRDefault="00E11BBA" w:rsidP="006C6B6B">
      <w:pPr>
        <w:spacing w:after="240"/>
        <w:rPr>
          <w:rFonts w:ascii="Verdana" w:hAnsi="Verdana"/>
        </w:rPr>
      </w:pPr>
      <w:r w:rsidRPr="00E11BBA">
        <w:rPr>
          <w:rFonts w:ascii="Verdana" w:hAnsi="Verdana"/>
          <w:b/>
          <w:bCs/>
        </w:rPr>
        <w:t xml:space="preserve">Solution: </w:t>
      </w:r>
      <w:r w:rsidR="009A4424">
        <w:rPr>
          <w:rFonts w:ascii="Verdana" w:hAnsi="Verdana"/>
        </w:rPr>
        <w:t xml:space="preserve">If you </w:t>
      </w:r>
      <w:r>
        <w:rPr>
          <w:rFonts w:ascii="Verdana" w:hAnsi="Verdana"/>
        </w:rPr>
        <w:t>work remotely</w:t>
      </w:r>
      <w:r>
        <w:rPr>
          <w:rFonts w:ascii="Verdana" w:hAnsi="Verdana"/>
        </w:rPr>
        <w:t xml:space="preserve"> or if your</w:t>
      </w:r>
      <w:r w:rsidR="009A4424">
        <w:rPr>
          <w:rFonts w:ascii="Verdana" w:hAnsi="Verdana"/>
        </w:rPr>
        <w:t xml:space="preserve"> home </w:t>
      </w:r>
      <w:r>
        <w:rPr>
          <w:rFonts w:ascii="Verdana" w:hAnsi="Verdana"/>
        </w:rPr>
        <w:t>is closer to your destination</w:t>
      </w:r>
      <w:r w:rsidR="009A4424">
        <w:rPr>
          <w:rFonts w:ascii="Verdana" w:hAnsi="Verdana"/>
        </w:rPr>
        <w:t>, you can choose</w:t>
      </w:r>
      <w:r>
        <w:rPr>
          <w:rFonts w:ascii="Verdana" w:hAnsi="Verdana"/>
        </w:rPr>
        <w:t xml:space="preserve"> </w:t>
      </w:r>
      <w:r>
        <w:rPr>
          <w:rFonts w:ascii="Verdana" w:hAnsi="Verdana"/>
          <w:u w:val="single"/>
        </w:rPr>
        <w:t>Standard Business Hours (Office to Office)</w:t>
      </w:r>
      <w:r w:rsidRPr="00E11BBA">
        <w:rPr>
          <w:rFonts w:ascii="Verdana" w:hAnsi="Verdana"/>
        </w:rPr>
        <w:t>.</w:t>
      </w:r>
      <w:r>
        <w:rPr>
          <w:rFonts w:ascii="Verdana" w:hAnsi="Verdana"/>
        </w:rPr>
        <w:t xml:space="preserve"> Here are the choices:</w:t>
      </w:r>
    </w:p>
    <w:p w14:paraId="3EE6508A" w14:textId="7809B0A1" w:rsidR="009A4424" w:rsidRPr="009A4424" w:rsidRDefault="00E11BBA" w:rsidP="006C6B6B">
      <w:pPr>
        <w:spacing w:after="240"/>
        <w:rPr>
          <w:rFonts w:ascii="Verdana" w:hAnsi="Verdana"/>
        </w:rPr>
      </w:pPr>
      <w:r>
        <w:rPr>
          <w:noProof/>
          <w14:ligatures w14:val="standardContextual"/>
        </w:rPr>
        <w:drawing>
          <wp:inline distT="0" distB="0" distL="0" distR="0" wp14:anchorId="26C9FF62" wp14:editId="5691628F">
            <wp:extent cx="2466975" cy="1666875"/>
            <wp:effectExtent l="0" t="0" r="9525" b="9525"/>
            <wp:docPr id="20509555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55521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424">
        <w:rPr>
          <w:rFonts w:ascii="Verdana" w:hAnsi="Verdana"/>
        </w:rPr>
        <w:t xml:space="preserve"> </w:t>
      </w:r>
    </w:p>
    <w:p w14:paraId="10A1504D" w14:textId="77777777" w:rsidR="00E11BBA" w:rsidRDefault="006C6B6B" w:rsidP="006C6B6B">
      <w:pPr>
        <w:spacing w:after="240"/>
        <w:rPr>
          <w:rFonts w:ascii="Verdana" w:hAnsi="Verdana"/>
          <w:color w:val="C00000"/>
        </w:rPr>
      </w:pPr>
      <w:r w:rsidRPr="00E11BBA">
        <w:rPr>
          <w:rFonts w:ascii="Verdana" w:hAnsi="Verdana"/>
          <w:b/>
          <w:bCs/>
        </w:rPr>
        <w:t>Orange alert:</w:t>
      </w:r>
      <w:r>
        <w:rPr>
          <w:rFonts w:ascii="Verdana" w:hAnsi="Verdana"/>
        </w:rPr>
        <w:t xml:space="preserve"> </w:t>
      </w:r>
      <w:r w:rsidRPr="00430CA0">
        <w:rPr>
          <w:rFonts w:ascii="Verdana" w:hAnsi="Verdana"/>
          <w:color w:val="C00000"/>
        </w:rPr>
        <w:t>This report contains one or more expenses outside of the trip dates. Review for accuracy.</w:t>
      </w:r>
      <w:r w:rsidRPr="00430CA0">
        <w:rPr>
          <w:rFonts w:ascii="Verdana" w:hAnsi="Verdana"/>
          <w:color w:val="C00000"/>
        </w:rPr>
        <w:t xml:space="preserve"> </w:t>
      </w:r>
    </w:p>
    <w:p w14:paraId="1C288775" w14:textId="58906274" w:rsidR="00E11BBA" w:rsidRPr="00E11BBA" w:rsidRDefault="00E11BBA" w:rsidP="006C6B6B">
      <w:pPr>
        <w:spacing w:after="240"/>
        <w:rPr>
          <w:rFonts w:ascii="Verdana" w:hAnsi="Verdana"/>
        </w:rPr>
      </w:pPr>
      <w:r w:rsidRPr="00E11BBA">
        <w:rPr>
          <w:rFonts w:ascii="Verdana" w:hAnsi="Verdana"/>
          <w:b/>
          <w:bCs/>
        </w:rPr>
        <w:t xml:space="preserve">Meaning: </w:t>
      </w:r>
      <w:r w:rsidRPr="00E11BBA">
        <w:rPr>
          <w:rFonts w:ascii="Verdana" w:hAnsi="Verdana"/>
        </w:rPr>
        <w:t xml:space="preserve">Check meal dates to </w:t>
      </w:r>
      <w:r w:rsidR="00486A08">
        <w:rPr>
          <w:rFonts w:ascii="Verdana" w:hAnsi="Verdana"/>
        </w:rPr>
        <w:t>see if</w:t>
      </w:r>
      <w:r w:rsidRPr="00E11BBA">
        <w:rPr>
          <w:rFonts w:ascii="Verdana" w:hAnsi="Verdana"/>
        </w:rPr>
        <w:t xml:space="preserve"> a meal </w:t>
      </w:r>
      <w:proofErr w:type="gramStart"/>
      <w:r w:rsidRPr="00E11BBA">
        <w:rPr>
          <w:rFonts w:ascii="Verdana" w:hAnsi="Verdana"/>
        </w:rPr>
        <w:t>post</w:t>
      </w:r>
      <w:proofErr w:type="gramEnd"/>
      <w:r w:rsidRPr="00E11BBA">
        <w:rPr>
          <w:rFonts w:ascii="Verdana" w:hAnsi="Verdana"/>
        </w:rPr>
        <w:t xml:space="preserve"> the day after (this is common). Rental cars, rental car tolls and ground transportation </w:t>
      </w:r>
      <w:proofErr w:type="gramStart"/>
      <w:r w:rsidRPr="00E11BBA">
        <w:rPr>
          <w:rFonts w:ascii="Verdana" w:hAnsi="Verdana"/>
        </w:rPr>
        <w:t>often post</w:t>
      </w:r>
      <w:proofErr w:type="gramEnd"/>
      <w:r w:rsidRPr="00E11BBA">
        <w:rPr>
          <w:rFonts w:ascii="Verdana" w:hAnsi="Verdana"/>
        </w:rPr>
        <w:t xml:space="preserve"> after the fact.</w:t>
      </w:r>
    </w:p>
    <w:p w14:paraId="7714F8CD" w14:textId="69EE4149" w:rsidR="00486A08" w:rsidRDefault="00E11BBA" w:rsidP="006C6B6B">
      <w:pPr>
        <w:spacing w:after="240"/>
        <w:rPr>
          <w:rFonts w:ascii="Verdana" w:hAnsi="Verdana"/>
        </w:rPr>
      </w:pPr>
      <w:r w:rsidRPr="00E11BBA">
        <w:rPr>
          <w:rFonts w:ascii="Verdana" w:hAnsi="Verdana"/>
          <w:b/>
          <w:bCs/>
        </w:rPr>
        <w:t>Solution:</w:t>
      </w:r>
      <w:r w:rsidRPr="00E11BBA">
        <w:rPr>
          <w:rFonts w:ascii="Verdana" w:hAnsi="Verdana"/>
        </w:rPr>
        <w:t xml:space="preserve"> </w:t>
      </w:r>
      <w:r w:rsidR="00486A08" w:rsidRPr="00E11BBA">
        <w:rPr>
          <w:rFonts w:ascii="Verdana" w:hAnsi="Verdana"/>
        </w:rPr>
        <w:t>You</w:t>
      </w:r>
      <w:r w:rsidR="00430CA0" w:rsidRPr="00E11BBA">
        <w:rPr>
          <w:rFonts w:ascii="Verdana" w:hAnsi="Verdana"/>
        </w:rPr>
        <w:t xml:space="preserve"> </w:t>
      </w:r>
      <w:r w:rsidR="006C6B6B" w:rsidRPr="00E11BBA">
        <w:rPr>
          <w:rFonts w:ascii="Verdana" w:hAnsi="Verdana"/>
        </w:rPr>
        <w:t>only need to</w:t>
      </w:r>
      <w:r w:rsidR="00CF58F4" w:rsidRPr="00E11BBA">
        <w:rPr>
          <w:rFonts w:ascii="Verdana" w:hAnsi="Verdana"/>
        </w:rPr>
        <w:t xml:space="preserve"> </w:t>
      </w:r>
      <w:r w:rsidR="00486A08">
        <w:rPr>
          <w:rFonts w:ascii="Verdana" w:hAnsi="Verdana"/>
        </w:rPr>
        <w:t>itemize</w:t>
      </w:r>
      <w:r w:rsidR="00CF58F4" w:rsidRPr="00E11BBA">
        <w:rPr>
          <w:rFonts w:ascii="Verdana" w:hAnsi="Verdana"/>
        </w:rPr>
        <w:t xml:space="preserve"> meal</w:t>
      </w:r>
      <w:r>
        <w:rPr>
          <w:rFonts w:ascii="Verdana" w:hAnsi="Verdana"/>
        </w:rPr>
        <w:t>s</w:t>
      </w:r>
      <w:r w:rsidR="00CF58F4" w:rsidRPr="00E11BBA">
        <w:rPr>
          <w:rFonts w:ascii="Verdana" w:hAnsi="Verdana"/>
        </w:rPr>
        <w:t xml:space="preserve"> that post </w:t>
      </w:r>
      <w:r w:rsidR="00486A08">
        <w:rPr>
          <w:rFonts w:ascii="Verdana" w:hAnsi="Verdana"/>
        </w:rPr>
        <w:t>to the wrong date</w:t>
      </w:r>
      <w:r w:rsidR="00BC25E8" w:rsidRPr="00E11BBA">
        <w:rPr>
          <w:rFonts w:ascii="Verdana" w:hAnsi="Verdana"/>
        </w:rPr>
        <w:t xml:space="preserve"> for the daily meal allowance</w:t>
      </w:r>
      <w:r>
        <w:rPr>
          <w:rFonts w:ascii="Verdana" w:hAnsi="Verdana"/>
        </w:rPr>
        <w:t xml:space="preserve"> to calculate correctly</w:t>
      </w:r>
      <w:r w:rsidR="00BC25E8" w:rsidRPr="00E11BBA">
        <w:rPr>
          <w:rFonts w:ascii="Verdana" w:hAnsi="Verdana"/>
        </w:rPr>
        <w:t>.</w:t>
      </w:r>
      <w:r w:rsidR="00486A08">
        <w:rPr>
          <w:rFonts w:ascii="Verdana" w:hAnsi="Verdana"/>
        </w:rPr>
        <w:t xml:space="preserve"> Correcting posting dates on other expenses is not required.</w:t>
      </w:r>
    </w:p>
    <w:p w14:paraId="1E175E2B" w14:textId="77777777" w:rsidR="00486A08" w:rsidRPr="00486A08" w:rsidRDefault="00486A08" w:rsidP="00486A08">
      <w:pPr>
        <w:spacing w:after="240"/>
        <w:rPr>
          <w:rFonts w:ascii="Verdana" w:hAnsi="Verdana"/>
        </w:rPr>
      </w:pPr>
      <w:hyperlink r:id="rId16" w:tooltip="How to Itemize a Travel Expense (to fix the date)" w:history="1">
        <w:r w:rsidRPr="00486A08">
          <w:rPr>
            <w:rStyle w:val="Hyperlink"/>
            <w:rFonts w:ascii="Verdana" w:hAnsi="Verdana"/>
          </w:rPr>
          <w:t>How to Itemize a Travel Expense (to fix the date)</w:t>
        </w:r>
      </w:hyperlink>
      <w:r w:rsidRPr="00486A08">
        <w:rPr>
          <w:rFonts w:ascii="Verdana" w:hAnsi="Verdana"/>
        </w:rPr>
        <w:t xml:space="preserve"> [Google doc]</w:t>
      </w:r>
    </w:p>
    <w:p w14:paraId="31E4C368" w14:textId="420C909F" w:rsidR="006C6B6B" w:rsidRPr="00E11BBA" w:rsidRDefault="00486A08" w:rsidP="006C6B6B">
      <w:pPr>
        <w:spacing w:after="240"/>
        <w:rPr>
          <w:rFonts w:ascii="Verdana" w:hAnsi="Verdana"/>
        </w:rPr>
      </w:pPr>
      <w:r>
        <w:rPr>
          <w:rFonts w:ascii="Verdana" w:hAnsi="Verdana"/>
        </w:rPr>
        <w:br/>
      </w:r>
    </w:p>
    <w:p w14:paraId="39D10D52" w14:textId="77777777" w:rsidR="00CF58F4" w:rsidRPr="008412DD" w:rsidRDefault="00CF58F4" w:rsidP="006C6B6B">
      <w:pPr>
        <w:spacing w:after="240"/>
        <w:rPr>
          <w:rFonts w:ascii="Verdana" w:hAnsi="Verdana"/>
        </w:rPr>
      </w:pPr>
    </w:p>
    <w:sectPr w:rsidR="00CF58F4" w:rsidRPr="008412DD" w:rsidSect="008412DD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542DA" w14:textId="77777777" w:rsidR="00F81FB5" w:rsidRDefault="00F81FB5" w:rsidP="006926CD">
      <w:r>
        <w:separator/>
      </w:r>
    </w:p>
  </w:endnote>
  <w:endnote w:type="continuationSeparator" w:id="0">
    <w:p w14:paraId="534BE23A" w14:textId="77777777" w:rsidR="00F81FB5" w:rsidRDefault="00F81FB5" w:rsidP="0069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7EEF" w14:textId="379FFB16" w:rsidR="006926CD" w:rsidRDefault="006926CD">
    <w:pPr>
      <w:pStyle w:val="Footer"/>
    </w:pPr>
    <w:r>
      <w:t xml:space="preserve">Revised </w:t>
    </w:r>
    <w:r w:rsidR="00C3677B">
      <w:t>Nov</w:t>
    </w:r>
    <w:r>
      <w:t>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C743E" w14:textId="77777777" w:rsidR="00F81FB5" w:rsidRDefault="00F81FB5" w:rsidP="006926CD">
      <w:r>
        <w:separator/>
      </w:r>
    </w:p>
  </w:footnote>
  <w:footnote w:type="continuationSeparator" w:id="0">
    <w:p w14:paraId="27D05A67" w14:textId="77777777" w:rsidR="00F81FB5" w:rsidRDefault="00F81FB5" w:rsidP="0069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47890"/>
    <w:multiLevelType w:val="hybridMultilevel"/>
    <w:tmpl w:val="2320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F7ED4"/>
    <w:multiLevelType w:val="multilevel"/>
    <w:tmpl w:val="B4B8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24A08"/>
    <w:multiLevelType w:val="hybridMultilevel"/>
    <w:tmpl w:val="91B8A5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67851"/>
    <w:multiLevelType w:val="multilevel"/>
    <w:tmpl w:val="F5F4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95DDE"/>
    <w:multiLevelType w:val="multilevel"/>
    <w:tmpl w:val="CB72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97E89"/>
    <w:multiLevelType w:val="multilevel"/>
    <w:tmpl w:val="5F32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637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8239506">
    <w:abstractNumId w:val="2"/>
  </w:num>
  <w:num w:numId="3" w16cid:durableId="1103917014">
    <w:abstractNumId w:val="0"/>
  </w:num>
  <w:num w:numId="4" w16cid:durableId="674113736">
    <w:abstractNumId w:val="5"/>
  </w:num>
  <w:num w:numId="5" w16cid:durableId="662899519">
    <w:abstractNumId w:val="4"/>
  </w:num>
  <w:num w:numId="6" w16cid:durableId="526721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7D"/>
    <w:rsid w:val="000076A7"/>
    <w:rsid w:val="0001778E"/>
    <w:rsid w:val="000467DD"/>
    <w:rsid w:val="00074EF6"/>
    <w:rsid w:val="00084E95"/>
    <w:rsid w:val="000B3BC7"/>
    <w:rsid w:val="00115ABC"/>
    <w:rsid w:val="00184159"/>
    <w:rsid w:val="0018641A"/>
    <w:rsid w:val="001B255F"/>
    <w:rsid w:val="001D35C3"/>
    <w:rsid w:val="002056F3"/>
    <w:rsid w:val="00224511"/>
    <w:rsid w:val="002402E2"/>
    <w:rsid w:val="00257461"/>
    <w:rsid w:val="00266511"/>
    <w:rsid w:val="00283475"/>
    <w:rsid w:val="002853E6"/>
    <w:rsid w:val="00292F8A"/>
    <w:rsid w:val="002B013B"/>
    <w:rsid w:val="002D4725"/>
    <w:rsid w:val="002E0799"/>
    <w:rsid w:val="003242E2"/>
    <w:rsid w:val="003A4766"/>
    <w:rsid w:val="00430CA0"/>
    <w:rsid w:val="0044389D"/>
    <w:rsid w:val="004727C9"/>
    <w:rsid w:val="004803DB"/>
    <w:rsid w:val="00486A08"/>
    <w:rsid w:val="0048747A"/>
    <w:rsid w:val="00497B7D"/>
    <w:rsid w:val="004C4305"/>
    <w:rsid w:val="004C4789"/>
    <w:rsid w:val="004F4C4C"/>
    <w:rsid w:val="004F7EE9"/>
    <w:rsid w:val="00514942"/>
    <w:rsid w:val="00542D79"/>
    <w:rsid w:val="00573C43"/>
    <w:rsid w:val="005776A1"/>
    <w:rsid w:val="00577B1E"/>
    <w:rsid w:val="00624B80"/>
    <w:rsid w:val="00630B77"/>
    <w:rsid w:val="0063765A"/>
    <w:rsid w:val="00662924"/>
    <w:rsid w:val="006926CD"/>
    <w:rsid w:val="006C6B6B"/>
    <w:rsid w:val="006E0C80"/>
    <w:rsid w:val="006E1B96"/>
    <w:rsid w:val="00706051"/>
    <w:rsid w:val="0072143F"/>
    <w:rsid w:val="007222A2"/>
    <w:rsid w:val="007260D0"/>
    <w:rsid w:val="0079372D"/>
    <w:rsid w:val="007A0241"/>
    <w:rsid w:val="007B7FF4"/>
    <w:rsid w:val="00833CBF"/>
    <w:rsid w:val="00840EB5"/>
    <w:rsid w:val="008412DD"/>
    <w:rsid w:val="008744FE"/>
    <w:rsid w:val="00887837"/>
    <w:rsid w:val="008C36A6"/>
    <w:rsid w:val="008E511E"/>
    <w:rsid w:val="009146FD"/>
    <w:rsid w:val="00945F44"/>
    <w:rsid w:val="009546D3"/>
    <w:rsid w:val="00955483"/>
    <w:rsid w:val="009606D5"/>
    <w:rsid w:val="00994108"/>
    <w:rsid w:val="009A1DD8"/>
    <w:rsid w:val="009A4424"/>
    <w:rsid w:val="009C76D9"/>
    <w:rsid w:val="00A13A7E"/>
    <w:rsid w:val="00A55DF7"/>
    <w:rsid w:val="00A6798A"/>
    <w:rsid w:val="00A90B63"/>
    <w:rsid w:val="00A94B8B"/>
    <w:rsid w:val="00AA7896"/>
    <w:rsid w:val="00AB2152"/>
    <w:rsid w:val="00AC44F6"/>
    <w:rsid w:val="00AE7761"/>
    <w:rsid w:val="00AF3009"/>
    <w:rsid w:val="00AF52FB"/>
    <w:rsid w:val="00B23C9E"/>
    <w:rsid w:val="00BA031D"/>
    <w:rsid w:val="00BA7B48"/>
    <w:rsid w:val="00BC25E8"/>
    <w:rsid w:val="00C01377"/>
    <w:rsid w:val="00C21052"/>
    <w:rsid w:val="00C24552"/>
    <w:rsid w:val="00C30761"/>
    <w:rsid w:val="00C3677B"/>
    <w:rsid w:val="00C606C7"/>
    <w:rsid w:val="00C91FC8"/>
    <w:rsid w:val="00CE1885"/>
    <w:rsid w:val="00CF26CD"/>
    <w:rsid w:val="00CF4192"/>
    <w:rsid w:val="00CF58F4"/>
    <w:rsid w:val="00D33300"/>
    <w:rsid w:val="00D76EC5"/>
    <w:rsid w:val="00D86F60"/>
    <w:rsid w:val="00D87ECE"/>
    <w:rsid w:val="00D97EFB"/>
    <w:rsid w:val="00DF3EFF"/>
    <w:rsid w:val="00E11BBA"/>
    <w:rsid w:val="00E11D10"/>
    <w:rsid w:val="00E17A6A"/>
    <w:rsid w:val="00E34BE9"/>
    <w:rsid w:val="00E81BBF"/>
    <w:rsid w:val="00E82B70"/>
    <w:rsid w:val="00E835A8"/>
    <w:rsid w:val="00E96982"/>
    <w:rsid w:val="00EC1B79"/>
    <w:rsid w:val="00EC24EF"/>
    <w:rsid w:val="00ED5B0B"/>
    <w:rsid w:val="00EE0320"/>
    <w:rsid w:val="00EE4F3E"/>
    <w:rsid w:val="00EE77C2"/>
    <w:rsid w:val="00F52F6A"/>
    <w:rsid w:val="00F575A8"/>
    <w:rsid w:val="00F700D0"/>
    <w:rsid w:val="00F81FB5"/>
    <w:rsid w:val="00FC3E45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F71F"/>
  <w15:chartTrackingRefBased/>
  <w15:docId w15:val="{FFF59780-ADEB-40DF-B604-52F8D082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B7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B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6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2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CD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2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6CD"/>
    <w:rPr>
      <w:rFonts w:ascii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55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9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94_p2Zk8nNFuRCI8eVo5StmA0HBRMxR8OqgKe4vEp9c/ed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docs.google.com/document/d/1x7L3yfL9twAlyTB1vHPefUu64OL8R_yg4WNW7TPewOc/ed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Layton, Amy</dc:creator>
  <cp:keywords/>
  <dc:description/>
  <cp:lastModifiedBy>Layton, Amy</cp:lastModifiedBy>
  <cp:revision>6</cp:revision>
  <dcterms:created xsi:type="dcterms:W3CDTF">2024-12-05T17:09:00Z</dcterms:created>
  <dcterms:modified xsi:type="dcterms:W3CDTF">2024-12-10T22:52:00Z</dcterms:modified>
</cp:coreProperties>
</file>